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8F" w:rsidRPr="0029788F" w:rsidRDefault="0029788F" w:rsidP="0029788F">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r w:rsidRPr="0029788F">
        <w:rPr>
          <w:rFonts w:ascii="Times New Roman" w:hAnsi="Times New Roman" w:cs="Times New Roman"/>
          <w:b/>
          <w:bCs/>
          <w:color w:val="0000FF"/>
          <w:sz w:val="36"/>
          <w:szCs w:val="36"/>
        </w:rPr>
        <w:t>ГОСПОДАРСЬКИЙ СУД ВІННИЦЬКОЇ ОБЛАСТІ</w:t>
      </w:r>
    </w:p>
    <w:p w:rsidR="0029788F" w:rsidRPr="0029788F" w:rsidRDefault="0029788F" w:rsidP="0029788F">
      <w:pPr>
        <w:autoSpaceDE w:val="0"/>
        <w:autoSpaceDN w:val="0"/>
        <w:adjustRightInd w:val="0"/>
        <w:spacing w:after="0" w:line="240" w:lineRule="auto"/>
        <w:jc w:val="center"/>
        <w:rPr>
          <w:rFonts w:ascii="Courier New" w:hAnsi="Courier New" w:cs="Courier New"/>
          <w:b/>
          <w:bCs/>
          <w:sz w:val="20"/>
          <w:szCs w:val="20"/>
        </w:rPr>
      </w:pPr>
      <w:r w:rsidRPr="0029788F">
        <w:rPr>
          <w:rFonts w:ascii="Times New Roman" w:hAnsi="Times New Roman" w:cs="Times New Roman"/>
          <w:sz w:val="18"/>
          <w:szCs w:val="18"/>
        </w:rPr>
        <w:t xml:space="preserve"> вул. Пирогова, 29, м. Вінниця, 21018,  тел./факс (0432)55-80-00, (0432)55-80-06 ел.пошта : inbox@vn.arbitr.gov.ua </w:t>
      </w:r>
    </w:p>
    <w:p w:rsidR="0029788F" w:rsidRPr="0029788F" w:rsidRDefault="0029788F" w:rsidP="0029788F">
      <w:pPr>
        <w:autoSpaceDE w:val="0"/>
        <w:autoSpaceDN w:val="0"/>
        <w:adjustRightInd w:val="0"/>
        <w:spacing w:after="0" w:line="240" w:lineRule="auto"/>
        <w:jc w:val="center"/>
        <w:rPr>
          <w:rFonts w:ascii="Courier New" w:hAnsi="Courier New" w:cs="Courier New"/>
          <w:b/>
          <w:bCs/>
          <w:sz w:val="20"/>
          <w:szCs w:val="20"/>
        </w:rPr>
      </w:pPr>
      <w:r w:rsidRPr="0029788F">
        <w:rPr>
          <w:rFonts w:ascii="Courier New" w:hAnsi="Courier New" w:cs="Courier New"/>
          <w:b/>
          <w:bCs/>
          <w:sz w:val="20"/>
          <w:szCs w:val="20"/>
        </w:rPr>
        <w:t>___________________________________________________________________________</w:t>
      </w:r>
    </w:p>
    <w:p w:rsidR="0029788F" w:rsidRPr="0029788F" w:rsidRDefault="0029788F" w:rsidP="0029788F">
      <w:pPr>
        <w:autoSpaceDE w:val="0"/>
        <w:autoSpaceDN w:val="0"/>
        <w:adjustRightInd w:val="0"/>
        <w:spacing w:after="0" w:line="240" w:lineRule="auto"/>
        <w:jc w:val="center"/>
        <w:rPr>
          <w:rFonts w:ascii="Times New Roman" w:hAnsi="Times New Roman" w:cs="Times New Roman"/>
          <w:b/>
          <w:bCs/>
          <w:sz w:val="32"/>
          <w:szCs w:val="32"/>
        </w:rPr>
      </w:pPr>
      <w:r w:rsidRPr="0029788F">
        <w:rPr>
          <w:rFonts w:ascii="Times New Roman" w:hAnsi="Times New Roman" w:cs="Times New Roman"/>
          <w:b/>
          <w:bCs/>
          <w:sz w:val="32"/>
          <w:szCs w:val="32"/>
        </w:rPr>
        <w:t>УХВАЛА</w:t>
      </w:r>
    </w:p>
    <w:p w:rsidR="0029788F" w:rsidRPr="0029788F" w:rsidRDefault="0029788F" w:rsidP="0029788F">
      <w:pPr>
        <w:tabs>
          <w:tab w:val="left" w:pos="6420"/>
        </w:tabs>
        <w:autoSpaceDE w:val="0"/>
        <w:autoSpaceDN w:val="0"/>
        <w:adjustRightInd w:val="0"/>
        <w:spacing w:after="0" w:line="240" w:lineRule="auto"/>
        <w:ind w:left="-270" w:right="-360"/>
        <w:rPr>
          <w:rFonts w:ascii="Times New Roman" w:hAnsi="Times New Roman" w:cs="Times New Roman"/>
          <w:i/>
          <w:iCs/>
          <w:sz w:val="24"/>
          <w:szCs w:val="24"/>
        </w:rPr>
      </w:pPr>
      <w:r w:rsidRPr="0029788F">
        <w:rPr>
          <w:rFonts w:ascii="Times New Roman" w:hAnsi="Times New Roman" w:cs="Times New Roman"/>
          <w:b/>
          <w:bCs/>
          <w:sz w:val="24"/>
          <w:szCs w:val="24"/>
        </w:rPr>
        <w:t xml:space="preserve"> "18" червня 2018 р.</w:t>
      </w:r>
      <w:r w:rsidRPr="0029788F">
        <w:rPr>
          <w:rFonts w:ascii="Times New Roman" w:hAnsi="Times New Roman" w:cs="Times New Roman"/>
          <w:b/>
          <w:bCs/>
          <w:sz w:val="24"/>
          <w:szCs w:val="24"/>
        </w:rPr>
        <w:tab/>
        <w:t xml:space="preserve">             Cправа № 10/153-09 </w:t>
      </w:r>
      <w:r w:rsidRPr="0029788F">
        <w:rPr>
          <w:rFonts w:ascii="Times New Roman" w:hAnsi="Times New Roman" w:cs="Times New Roman"/>
          <w:i/>
          <w:iCs/>
          <w:sz w:val="24"/>
          <w:szCs w:val="24"/>
        </w:rPr>
        <w:t xml:space="preserve"> </w:t>
      </w:r>
    </w:p>
    <w:p w:rsidR="0029788F" w:rsidRPr="0029788F" w:rsidRDefault="0029788F" w:rsidP="0029788F">
      <w:pPr>
        <w:tabs>
          <w:tab w:val="left" w:pos="8445"/>
        </w:tabs>
        <w:autoSpaceDE w:val="0"/>
        <w:autoSpaceDN w:val="0"/>
        <w:adjustRightInd w:val="0"/>
        <w:spacing w:after="0" w:line="240" w:lineRule="auto"/>
        <w:ind w:left="-270" w:right="-360"/>
        <w:jc w:val="right"/>
        <w:rPr>
          <w:rFonts w:ascii="Times New Roman" w:hAnsi="Times New Roman" w:cs="Times New Roman"/>
          <w:sz w:val="20"/>
          <w:szCs w:val="20"/>
        </w:rPr>
      </w:pPr>
      <w:r w:rsidRPr="0029788F">
        <w:rPr>
          <w:rFonts w:ascii="Times New Roman" w:hAnsi="Times New Roman" w:cs="Times New Roman"/>
          <w:sz w:val="24"/>
          <w:szCs w:val="24"/>
        </w:rPr>
        <w:t xml:space="preserve"> </w:t>
      </w:r>
    </w:p>
    <w:p w:rsidR="0029788F" w:rsidRPr="0029788F" w:rsidRDefault="0029788F" w:rsidP="0029788F">
      <w:pPr>
        <w:tabs>
          <w:tab w:val="left" w:pos="5880"/>
        </w:tabs>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 xml:space="preserve">Господарський суд Вінницької області в складі: головуючий суддя Тісецький С.С., секретар судового засідання Поцалюк Н.В., розглянувши у відкритому судовому засіданні у приміщенні суду матеріали справи                 </w:t>
      </w:r>
    </w:p>
    <w:p w:rsidR="0029788F" w:rsidRPr="0029788F" w:rsidRDefault="0029788F" w:rsidP="0029788F">
      <w:pPr>
        <w:autoSpaceDE w:val="0"/>
        <w:autoSpaceDN w:val="0"/>
        <w:adjustRightInd w:val="0"/>
        <w:spacing w:after="0" w:line="240" w:lineRule="auto"/>
        <w:ind w:left="-270" w:right="-360"/>
        <w:jc w:val="both"/>
        <w:rPr>
          <w:rFonts w:ascii="Times New Roman" w:hAnsi="Times New Roman" w:cs="Times New Roman"/>
        </w:rPr>
      </w:pPr>
      <w:r w:rsidRPr="0029788F">
        <w:rPr>
          <w:rFonts w:ascii="Times New Roman" w:hAnsi="Times New Roman" w:cs="Times New Roman"/>
          <w:b/>
          <w:bCs/>
          <w:sz w:val="24"/>
          <w:szCs w:val="24"/>
        </w:rPr>
        <w:t>за заявою</w:t>
      </w:r>
      <w:r w:rsidRPr="0029788F">
        <w:rPr>
          <w:rFonts w:ascii="Times New Roman" w:hAnsi="Times New Roman" w:cs="Times New Roman"/>
          <w:sz w:val="24"/>
          <w:szCs w:val="24"/>
        </w:rPr>
        <w:t xml:space="preserve">: товариства з обмеженою відповідальністю "ТД "Облжитлопостачзбутторг",    м.Житомир     </w:t>
      </w:r>
    </w:p>
    <w:p w:rsidR="0029788F" w:rsidRPr="0029788F" w:rsidRDefault="0029788F" w:rsidP="0029788F">
      <w:pPr>
        <w:tabs>
          <w:tab w:val="left" w:pos="7365"/>
        </w:tabs>
        <w:autoSpaceDE w:val="0"/>
        <w:autoSpaceDN w:val="0"/>
        <w:adjustRightInd w:val="0"/>
        <w:spacing w:after="0" w:line="240" w:lineRule="auto"/>
        <w:ind w:left="-270" w:right="-360"/>
        <w:jc w:val="both"/>
        <w:rPr>
          <w:rFonts w:ascii="Times New Roman" w:hAnsi="Times New Roman" w:cs="Times New Roman"/>
          <w:sz w:val="24"/>
          <w:szCs w:val="24"/>
        </w:rPr>
      </w:pPr>
      <w:r w:rsidRPr="0029788F">
        <w:rPr>
          <w:rFonts w:ascii="Times New Roman" w:hAnsi="Times New Roman" w:cs="Times New Roman"/>
          <w:b/>
          <w:bCs/>
          <w:sz w:val="24"/>
          <w:szCs w:val="24"/>
        </w:rPr>
        <w:t>до</w:t>
      </w:r>
      <w:r w:rsidRPr="0029788F">
        <w:rPr>
          <w:rFonts w:ascii="Times New Roman" w:hAnsi="Times New Roman" w:cs="Times New Roman"/>
          <w:sz w:val="24"/>
          <w:szCs w:val="24"/>
        </w:rPr>
        <w:t xml:space="preserve">: товариства з обмеженою відповідальністю "Вінницька підшипникова компанія", м.Вінниця    </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sz w:val="24"/>
          <w:szCs w:val="24"/>
        </w:rPr>
      </w:pPr>
      <w:r w:rsidRPr="0029788F">
        <w:rPr>
          <w:rFonts w:ascii="Times New Roman" w:hAnsi="Times New Roman" w:cs="Times New Roman"/>
          <w:b/>
          <w:bCs/>
          <w:sz w:val="24"/>
          <w:szCs w:val="24"/>
        </w:rPr>
        <w:t xml:space="preserve">про </w:t>
      </w:r>
      <w:r w:rsidRPr="0029788F">
        <w:rPr>
          <w:rFonts w:ascii="Times New Roman" w:hAnsi="Times New Roman" w:cs="Times New Roman"/>
          <w:sz w:val="24"/>
          <w:szCs w:val="24"/>
        </w:rPr>
        <w:t>визнання банкрутом</w:t>
      </w:r>
      <w:r w:rsidRPr="0029788F">
        <w:rPr>
          <w:rFonts w:ascii="Times New Roman" w:hAnsi="Times New Roman" w:cs="Times New Roman"/>
          <w:b/>
          <w:bCs/>
          <w:sz w:val="24"/>
          <w:szCs w:val="24"/>
        </w:rPr>
        <w:t xml:space="preserve">       </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i/>
          <w:iCs/>
          <w:sz w:val="24"/>
          <w:szCs w:val="24"/>
        </w:rPr>
      </w:pPr>
      <w:r w:rsidRPr="0029788F">
        <w:rPr>
          <w:rFonts w:ascii="Times New Roman" w:hAnsi="Times New Roman" w:cs="Times New Roman"/>
          <w:b/>
          <w:bCs/>
          <w:i/>
          <w:iCs/>
          <w:sz w:val="24"/>
          <w:szCs w:val="24"/>
        </w:rPr>
        <w:t>Представники сторін:</w:t>
      </w:r>
    </w:p>
    <w:p w:rsidR="0029788F" w:rsidRPr="0029788F" w:rsidRDefault="0029788F" w:rsidP="0029788F">
      <w:pPr>
        <w:autoSpaceDE w:val="0"/>
        <w:autoSpaceDN w:val="0"/>
        <w:adjustRightInd w:val="0"/>
        <w:spacing w:after="0" w:line="240" w:lineRule="auto"/>
        <w:ind w:left="-270" w:right="-360"/>
        <w:jc w:val="both"/>
        <w:rPr>
          <w:rFonts w:ascii="Times New Roman" w:hAnsi="Times New Roman" w:cs="Times New Roman"/>
          <w:i/>
          <w:iCs/>
          <w:sz w:val="24"/>
          <w:szCs w:val="24"/>
        </w:rPr>
      </w:pPr>
      <w:r w:rsidRPr="0029788F">
        <w:rPr>
          <w:rFonts w:ascii="Times New Roman" w:hAnsi="Times New Roman" w:cs="Times New Roman"/>
          <w:i/>
          <w:iCs/>
          <w:sz w:val="24"/>
          <w:szCs w:val="24"/>
        </w:rPr>
        <w:t>арбітражний керуючий Дейнека М.І.</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i/>
          <w:iCs/>
          <w:sz w:val="24"/>
          <w:szCs w:val="24"/>
        </w:rPr>
      </w:pPr>
      <w:r w:rsidRPr="0029788F">
        <w:rPr>
          <w:rFonts w:ascii="Times New Roman" w:hAnsi="Times New Roman" w:cs="Times New Roman"/>
          <w:i/>
          <w:iCs/>
          <w:sz w:val="24"/>
          <w:szCs w:val="24"/>
        </w:rPr>
        <w:t>ПП "Демпродторг": Гарник  В.В., за  довіреністю</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i/>
          <w:iCs/>
          <w:sz w:val="24"/>
          <w:szCs w:val="24"/>
        </w:rPr>
      </w:pPr>
      <w:r w:rsidRPr="0029788F">
        <w:rPr>
          <w:rFonts w:ascii="Times New Roman" w:hAnsi="Times New Roman" w:cs="Times New Roman"/>
          <w:i/>
          <w:iCs/>
          <w:sz w:val="24"/>
          <w:szCs w:val="24"/>
        </w:rPr>
        <w:t>ТОВ "Метінвест-Трейд": Горичко В.І., за довіреністю</w:t>
      </w:r>
    </w:p>
    <w:p w:rsidR="0029788F" w:rsidRPr="0029788F" w:rsidRDefault="0029788F" w:rsidP="0029788F">
      <w:pPr>
        <w:autoSpaceDE w:val="0"/>
        <w:autoSpaceDN w:val="0"/>
        <w:adjustRightInd w:val="0"/>
        <w:spacing w:after="0" w:line="240" w:lineRule="auto"/>
        <w:ind w:left="-270" w:right="-360"/>
        <w:jc w:val="both"/>
        <w:rPr>
          <w:rFonts w:ascii="Times New Roman" w:hAnsi="Times New Roman" w:cs="Times New Roman"/>
          <w:i/>
          <w:iCs/>
          <w:sz w:val="24"/>
          <w:szCs w:val="24"/>
        </w:rPr>
      </w:pPr>
      <w:r w:rsidRPr="0029788F">
        <w:rPr>
          <w:rFonts w:ascii="Times New Roman" w:hAnsi="Times New Roman" w:cs="Times New Roman"/>
          <w:i/>
          <w:iCs/>
          <w:sz w:val="24"/>
          <w:szCs w:val="24"/>
        </w:rPr>
        <w:t>Вінницька ОДПІ ГУ ДФС у  Вінницькій  області: Черпітяк О.В., за  довіреністю</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i/>
          <w:iCs/>
          <w:sz w:val="24"/>
          <w:szCs w:val="24"/>
        </w:rPr>
      </w:pPr>
      <w:r w:rsidRPr="0029788F">
        <w:rPr>
          <w:rFonts w:ascii="Times New Roman" w:hAnsi="Times New Roman" w:cs="Times New Roman"/>
          <w:i/>
          <w:iCs/>
          <w:sz w:val="24"/>
          <w:szCs w:val="24"/>
        </w:rPr>
        <w:t>УПФУ в м. Вінниця: Загоруйко Т.В., за довіреністю</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i/>
          <w:iCs/>
          <w:sz w:val="24"/>
          <w:szCs w:val="24"/>
        </w:rPr>
      </w:pPr>
      <w:r w:rsidRPr="0029788F">
        <w:rPr>
          <w:rFonts w:ascii="Times New Roman" w:hAnsi="Times New Roman" w:cs="Times New Roman"/>
          <w:i/>
          <w:iCs/>
          <w:sz w:val="24"/>
          <w:szCs w:val="24"/>
        </w:rPr>
        <w:t>ТОВ "Торгівельна  компанія "Урожай": Мастер  П.В., за  довіреністю</w:t>
      </w:r>
    </w:p>
    <w:p w:rsidR="0029788F" w:rsidRPr="0029788F" w:rsidRDefault="0029788F" w:rsidP="0029788F">
      <w:pPr>
        <w:autoSpaceDE w:val="0"/>
        <w:autoSpaceDN w:val="0"/>
        <w:adjustRightInd w:val="0"/>
        <w:spacing w:after="0" w:line="240" w:lineRule="auto"/>
        <w:ind w:left="-270" w:right="-360"/>
        <w:rPr>
          <w:rFonts w:ascii="Times New Roman" w:hAnsi="Times New Roman" w:cs="Times New Roman"/>
          <w:sz w:val="24"/>
          <w:szCs w:val="24"/>
        </w:rPr>
      </w:pPr>
      <w:r w:rsidRPr="0029788F">
        <w:rPr>
          <w:rFonts w:ascii="Times New Roman" w:hAnsi="Times New Roman" w:cs="Times New Roman"/>
          <w:i/>
          <w:iCs/>
          <w:sz w:val="24"/>
          <w:szCs w:val="24"/>
        </w:rPr>
        <w:t>Управління ВД ФСС України у Вінницькій області: Жовмір К.О., за довіреністю</w:t>
      </w:r>
    </w:p>
    <w:p w:rsidR="0029788F" w:rsidRPr="0029788F" w:rsidRDefault="0029788F" w:rsidP="0029788F">
      <w:pPr>
        <w:tabs>
          <w:tab w:val="left" w:pos="750"/>
        </w:tabs>
        <w:autoSpaceDE w:val="0"/>
        <w:autoSpaceDN w:val="0"/>
        <w:adjustRightInd w:val="0"/>
        <w:spacing w:after="0" w:line="240" w:lineRule="auto"/>
        <w:ind w:firstLine="720"/>
        <w:rPr>
          <w:rFonts w:ascii="Times New Roman" w:hAnsi="Times New Roman" w:cs="Times New Roman"/>
          <w:sz w:val="24"/>
          <w:szCs w:val="24"/>
        </w:rPr>
      </w:pPr>
      <w:r w:rsidRPr="0029788F">
        <w:rPr>
          <w:rFonts w:ascii="Times New Roman" w:hAnsi="Times New Roman" w:cs="Times New Roman"/>
          <w:b/>
          <w:bCs/>
          <w:sz w:val="24"/>
          <w:szCs w:val="24"/>
        </w:rPr>
        <w:t xml:space="preserve">      </w:t>
      </w:r>
    </w:p>
    <w:p w:rsidR="0029788F" w:rsidRPr="0029788F" w:rsidRDefault="0029788F" w:rsidP="0029788F">
      <w:pPr>
        <w:autoSpaceDE w:val="0"/>
        <w:autoSpaceDN w:val="0"/>
        <w:adjustRightInd w:val="0"/>
        <w:spacing w:after="0" w:line="240" w:lineRule="auto"/>
        <w:jc w:val="center"/>
        <w:rPr>
          <w:rFonts w:ascii="Times New Roman" w:hAnsi="Times New Roman" w:cs="Times New Roman"/>
          <w:sz w:val="24"/>
          <w:szCs w:val="24"/>
        </w:rPr>
      </w:pPr>
      <w:r w:rsidRPr="0029788F">
        <w:rPr>
          <w:rFonts w:ascii="Times New Roman" w:hAnsi="Times New Roman" w:cs="Times New Roman"/>
          <w:sz w:val="28"/>
          <w:szCs w:val="28"/>
        </w:rPr>
        <w:t xml:space="preserve"> </w:t>
      </w:r>
      <w:r w:rsidRPr="0029788F">
        <w:rPr>
          <w:rFonts w:ascii="Times New Roman" w:hAnsi="Times New Roman" w:cs="Times New Roman"/>
          <w:b/>
          <w:bCs/>
          <w:sz w:val="28"/>
          <w:szCs w:val="28"/>
        </w:rPr>
        <w:t>В С Т А Н О В И В :</w:t>
      </w:r>
      <w:r w:rsidRPr="0029788F">
        <w:rPr>
          <w:rFonts w:ascii="Times New Roman" w:hAnsi="Times New Roman" w:cs="Times New Roman"/>
          <w:sz w:val="28"/>
          <w:szCs w:val="28"/>
        </w:rPr>
        <w:t xml:space="preserve"> </w:t>
      </w:r>
    </w:p>
    <w:p w:rsidR="0029788F" w:rsidRPr="0029788F" w:rsidRDefault="0029788F" w:rsidP="0029788F">
      <w:pPr>
        <w:autoSpaceDE w:val="0"/>
        <w:autoSpaceDN w:val="0"/>
        <w:adjustRightInd w:val="0"/>
        <w:spacing w:after="0" w:line="240" w:lineRule="auto"/>
        <w:ind w:firstLine="540"/>
        <w:jc w:val="both"/>
        <w:rPr>
          <w:rFonts w:ascii="Times New Roman" w:hAnsi="Times New Roman" w:cs="Times New Roman"/>
          <w:b/>
          <w:bCs/>
          <w:i/>
          <w:iCs/>
          <w:sz w:val="24"/>
          <w:szCs w:val="24"/>
        </w:rPr>
      </w:pP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В провадженні Господарського суду Вінницької області знаходиться справа за заявою ТОВ "ТД "Облжитлопостачзбутторг" до ТОВ "Вінницька підшипникова компанія" про  банкрутство.</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Постановою суду від 15.04.2010 року  ТОВ "Вінницька підшипникова компанія"  визнано банкрутом.</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Ухвалою суду від 05.07.2017 року, зокрема, припинено повноваження ліквідатора боржника - арбітражного керуючого Белінської Н.О.; ліквідатором у даній справі  призначено арбітражного керуючого Дейнеку М.І.</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 xml:space="preserve">В подальшому, ухвалою суду від 22.05.2018 року, окрім іншого, продовжено строк ліквідаційної процедури ТОВ "Вінницька підшипникова компанія" та повноваження арбітражного керуючого (ліквідатора) Дейнеки М.І. у даній справі до 18.06.2018 року.  Справу призначено до розгляду в судовому засіданні на 18.06.2018 року. </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14.06.2018 року на електронну адресу суду від арбітражного керуючого                   Дейнеки М.І. надійшов проміжний звіт про хід ліквідаційної процедури у даній справі № 12/4 від 12.06.2018 року.</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В судовому засіданні 18.06.2018 року арбітражний керуючий надав пояснення щодо обставин, викладених у проміжному звіті. Зокрема, у звіті зазначено, що ухвалою господарського суду Вінницької області від 28.02.2018 року заяву ТОВ "ТК Урожай" задоволено частково, визнано недійсними результати аукціону, оформлені протоколом про проведення аукціону, який відбувся 26.01.2018 року, організатором якого є товарна біржа "Прозора".</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Постановою Рівненського апеляційного господарського суду від 23.04.2018 року ухвалу господарського суду Вінницької області від 28.02.2018 року в частині задоволення заяви ТОВ "Торгівельна компанія "Урожай" про визнання результатів другого повторного аукціону з продажу майна недійсними скасовано та прийнято в цій частині нову ухвалу, якою в задоволенні заяви ТОВ "Торгівельна компанія "Урожай" про визнання результатів другого повторного аукціону з продажу майна недійсними відмовлено.</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 xml:space="preserve">В період оскарження результатів аукціону від 26.01.2018 року відбулась позапланова перевірка діяльності арбітражного керуючого Дейнеки М.І. За результатами проведення позапланової перевірки діяльності арбітражного керуючого Головним територіальним управлінням юстиції у </w:t>
      </w:r>
      <w:r w:rsidRPr="0029788F">
        <w:rPr>
          <w:rFonts w:ascii="Times New Roman" w:hAnsi="Times New Roman" w:cs="Times New Roman"/>
          <w:sz w:val="24"/>
          <w:szCs w:val="24"/>
        </w:rPr>
        <w:lastRenderedPageBreak/>
        <w:t>Вінницькій області на підставі скарги ТОВ "ТК Урожай" щодо проведення другого повторного аукціону з продажу цілісного майнового комплексу ТОВ "Вінницька підшипникова компанія" який відбувся 26.01.2018 року складено акт № 7 від 08.06.2018 року позапланової невиїзної перевірки, за результатами якої зроблено висновок про те, що порушень вимог Конституції України, ГПК України, ЗУ "Про відновлення платоспроможності боржника або визнання його банкрутом" та іншого законодавства з питань банкрутства, не виявлено. За результатами перевірки не виявлено порушення, які є підставою для внесення державним органом з питань банкрутства до Дисциплінарної комісії подань щодо застосування до арбітражного керуючого дисциплінарних стягнень.</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На даний час на адресу ліквідатора надійшла касаційна скарга ТОВ "ТК Урожай" на постановою Рівненського апеляційного господарського суду від 23.04.2018 року у справі № 10/153-09.</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Присутні в судовому засіданні учасники справи не заперечили щодо прийняття до відома проміжного звіту ліквідатора.</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Так, за результатами проведеного судового засідання, дослідивши матеріали справи та заслухавши учасників справи, суд дійшов висновку про прийняття до відома проміжного звіту арбітражного керуючого Дейнеки М.І. про хід ліквідаційної процедури у даній справі №12/4 від 12.06.2018 року та про призначення справи до розгляду на іншу дату.</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sz w:val="24"/>
          <w:szCs w:val="24"/>
        </w:rPr>
        <w:t xml:space="preserve">З урахуванням наведеного та керуючись ст.ст. 3-1, 4, 5, 22-34 ЗУ "Про відновлення платоспроможності боржника або визнання його банкрутом" (в редакції чинній до 19.01.2013 року), ст.ст. 2, 3, 12 ч. 6, 18, 234, 235 ГПК України суд, -      </w:t>
      </w:r>
    </w:p>
    <w:p w:rsidR="0029788F" w:rsidRPr="0029788F" w:rsidRDefault="0029788F" w:rsidP="0029788F">
      <w:pPr>
        <w:autoSpaceDE w:val="0"/>
        <w:autoSpaceDN w:val="0"/>
        <w:adjustRightInd w:val="0"/>
        <w:spacing w:after="0" w:line="240" w:lineRule="auto"/>
        <w:ind w:firstLine="540"/>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firstLine="540"/>
        <w:jc w:val="center"/>
        <w:rPr>
          <w:rFonts w:ascii="Times New Roman" w:hAnsi="Times New Roman" w:cs="Times New Roman"/>
          <w:sz w:val="28"/>
          <w:szCs w:val="28"/>
        </w:rPr>
      </w:pPr>
      <w:r w:rsidRPr="0029788F">
        <w:rPr>
          <w:rFonts w:ascii="Times New Roman" w:hAnsi="Times New Roman" w:cs="Times New Roman"/>
          <w:b/>
          <w:bCs/>
          <w:sz w:val="28"/>
          <w:szCs w:val="28"/>
        </w:rPr>
        <w:t xml:space="preserve">У Х В А Л И В </w:t>
      </w:r>
      <w:r w:rsidRPr="0029788F">
        <w:rPr>
          <w:rFonts w:ascii="Times New Roman" w:hAnsi="Times New Roman" w:cs="Times New Roman"/>
          <w:sz w:val="28"/>
          <w:szCs w:val="28"/>
        </w:rPr>
        <w:t>:</w:t>
      </w:r>
    </w:p>
    <w:p w:rsidR="0029788F" w:rsidRPr="0029788F" w:rsidRDefault="0029788F" w:rsidP="0029788F">
      <w:pPr>
        <w:autoSpaceDE w:val="0"/>
        <w:autoSpaceDN w:val="0"/>
        <w:adjustRightInd w:val="0"/>
        <w:spacing w:after="0" w:line="240" w:lineRule="auto"/>
        <w:ind w:firstLine="540"/>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b/>
          <w:bCs/>
          <w:sz w:val="24"/>
          <w:szCs w:val="24"/>
        </w:rPr>
        <w:t>1.</w:t>
      </w:r>
      <w:r w:rsidRPr="0029788F">
        <w:rPr>
          <w:rFonts w:ascii="Times New Roman" w:hAnsi="Times New Roman" w:cs="Times New Roman"/>
          <w:sz w:val="24"/>
          <w:szCs w:val="24"/>
        </w:rPr>
        <w:t xml:space="preserve"> Прийняти до відома проміжний звіт ліквідатора Дейнеки М.І. про виконану ним роботу по справі № 10/153-09 про банкрутство ТОВ "Вінницька підшипникова компанія".</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b/>
          <w:bCs/>
          <w:sz w:val="24"/>
          <w:szCs w:val="24"/>
        </w:rPr>
        <w:t xml:space="preserve">2. </w:t>
      </w:r>
      <w:r w:rsidRPr="0029788F">
        <w:rPr>
          <w:rFonts w:ascii="Times New Roman" w:hAnsi="Times New Roman" w:cs="Times New Roman"/>
          <w:sz w:val="24"/>
          <w:szCs w:val="24"/>
        </w:rPr>
        <w:t xml:space="preserve">Справу призначити до розгляду </w:t>
      </w:r>
      <w:r w:rsidRPr="0029788F">
        <w:rPr>
          <w:rFonts w:ascii="Times New Roman" w:hAnsi="Times New Roman" w:cs="Times New Roman"/>
          <w:b/>
          <w:bCs/>
          <w:sz w:val="24"/>
          <w:szCs w:val="24"/>
        </w:rPr>
        <w:t>на 15.10.2018 року - 10:30 год.,</w:t>
      </w:r>
      <w:r w:rsidRPr="0029788F">
        <w:rPr>
          <w:rFonts w:ascii="Times New Roman" w:hAnsi="Times New Roman" w:cs="Times New Roman"/>
          <w:sz w:val="24"/>
          <w:szCs w:val="24"/>
        </w:rPr>
        <w:t xml:space="preserve"> в приміщенні господарського суду Вінницької області (вул. Пирогова, 29, м. Вінниця, 21018).</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b/>
          <w:bCs/>
          <w:sz w:val="24"/>
          <w:szCs w:val="24"/>
        </w:rPr>
        <w:t xml:space="preserve">3. </w:t>
      </w:r>
      <w:r w:rsidRPr="0029788F">
        <w:rPr>
          <w:rFonts w:ascii="Times New Roman" w:hAnsi="Times New Roman" w:cs="Times New Roman"/>
          <w:sz w:val="24"/>
          <w:szCs w:val="24"/>
        </w:rPr>
        <w:t>Копію ухвали направити згідно переліку рекомендованим листом.</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sz w:val="24"/>
          <w:szCs w:val="24"/>
        </w:rPr>
      </w:pPr>
      <w:r w:rsidRPr="0029788F">
        <w:rPr>
          <w:rFonts w:ascii="Times New Roman" w:hAnsi="Times New Roman" w:cs="Times New Roman"/>
          <w:b/>
          <w:bCs/>
          <w:sz w:val="24"/>
          <w:szCs w:val="24"/>
        </w:rPr>
        <w:t>4.</w:t>
      </w:r>
      <w:r w:rsidRPr="0029788F">
        <w:rPr>
          <w:rFonts w:ascii="Times New Roman" w:hAnsi="Times New Roman" w:cs="Times New Roman"/>
          <w:sz w:val="24"/>
          <w:szCs w:val="24"/>
        </w:rPr>
        <w:t xml:space="preserve"> Відповідно до п. 21 перехідних положень ГПК України суд (в редакції чинній з 15.12.2017 року) та ст. 12-1 ЗУ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i/>
          <w:iCs/>
          <w:sz w:val="24"/>
          <w:szCs w:val="24"/>
        </w:rPr>
      </w:pP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i/>
          <w:iCs/>
          <w:sz w:val="24"/>
          <w:szCs w:val="24"/>
        </w:rPr>
      </w:pPr>
      <w:r w:rsidRPr="0029788F">
        <w:rPr>
          <w:rFonts w:ascii="Times New Roman" w:hAnsi="Times New Roman" w:cs="Times New Roman"/>
          <w:i/>
          <w:iCs/>
          <w:sz w:val="24"/>
          <w:szCs w:val="24"/>
        </w:rPr>
        <w:t>Згідно ч.1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 Ухвала оскарженню не підлягає.</w:t>
      </w:r>
    </w:p>
    <w:p w:rsidR="0029788F" w:rsidRPr="0029788F" w:rsidRDefault="0029788F" w:rsidP="0029788F">
      <w:pPr>
        <w:autoSpaceDE w:val="0"/>
        <w:autoSpaceDN w:val="0"/>
        <w:adjustRightInd w:val="0"/>
        <w:spacing w:after="0" w:line="240" w:lineRule="auto"/>
        <w:ind w:left="-270" w:right="-360" w:firstLine="540"/>
        <w:jc w:val="both"/>
        <w:rPr>
          <w:rFonts w:ascii="Times New Roman" w:hAnsi="Times New Roman" w:cs="Times New Roman"/>
          <w:b/>
          <w:bCs/>
          <w:sz w:val="24"/>
          <w:szCs w:val="24"/>
        </w:rPr>
      </w:pPr>
    </w:p>
    <w:p w:rsidR="0029788F" w:rsidRPr="0029788F" w:rsidRDefault="0029788F" w:rsidP="0029788F">
      <w:pPr>
        <w:autoSpaceDE w:val="0"/>
        <w:autoSpaceDN w:val="0"/>
        <w:adjustRightInd w:val="0"/>
        <w:spacing w:after="0" w:line="240" w:lineRule="auto"/>
        <w:ind w:left="-270" w:right="-360" w:firstLine="540"/>
        <w:rPr>
          <w:rFonts w:ascii="Times New Roman" w:hAnsi="Times New Roman" w:cs="Times New Roman"/>
          <w:sz w:val="24"/>
          <w:szCs w:val="24"/>
        </w:rPr>
      </w:pPr>
      <w:r w:rsidRPr="0029788F">
        <w:rPr>
          <w:rFonts w:ascii="Times New Roman" w:hAnsi="Times New Roman" w:cs="Times New Roman"/>
          <w:b/>
          <w:bCs/>
          <w:sz w:val="24"/>
          <w:szCs w:val="24"/>
        </w:rPr>
        <w:t xml:space="preserve">                   Суддя                                                                   Тісецький С.С. </w:t>
      </w:r>
      <w:r w:rsidRPr="0029788F">
        <w:rPr>
          <w:rFonts w:ascii="Times New Roman" w:hAnsi="Times New Roman" w:cs="Times New Roman"/>
          <w:sz w:val="24"/>
          <w:szCs w:val="24"/>
        </w:rPr>
        <w:t xml:space="preserve">   </w:t>
      </w:r>
    </w:p>
    <w:p w:rsidR="0029788F" w:rsidRPr="0029788F" w:rsidRDefault="0029788F" w:rsidP="0029788F">
      <w:pPr>
        <w:autoSpaceDE w:val="0"/>
        <w:autoSpaceDN w:val="0"/>
        <w:adjustRightInd w:val="0"/>
        <w:spacing w:after="0" w:line="240" w:lineRule="auto"/>
        <w:ind w:left="945" w:hanging="945"/>
        <w:jc w:val="center"/>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left="945" w:hanging="945"/>
        <w:jc w:val="center"/>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left="945" w:hanging="945"/>
        <w:jc w:val="center"/>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left="945" w:hanging="945"/>
        <w:jc w:val="center"/>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left="945" w:hanging="945"/>
        <w:jc w:val="center"/>
        <w:rPr>
          <w:rFonts w:ascii="Times New Roman" w:hAnsi="Times New Roman" w:cs="Times New Roman"/>
          <w:sz w:val="24"/>
          <w:szCs w:val="24"/>
        </w:rPr>
      </w:pP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Віддрук.  21 прим.:</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 до справи;</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2 - ТОВ "ТД "Облжитлопостачзбутторг" (10001, м. Житомир, вул. Металістів, 3);</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3 - ТОВ "Інтер-ГТВ" (09114, м. Біла Церква, вул. Леваневського, 85, Київська область);</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4 - ТОВ "Компанія "Александр" (69002, м. Запоріжжя, пр. Леніна, 63);</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 xml:space="preserve">5 - Лівобережному міжрайонному центру зайнятості м. Вінниці (21001, м. Вінниця, </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вул. Привокзальна, 28);</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lastRenderedPageBreak/>
        <w:t>6 -  Відділенню виконавчої дирекції Фонду соціального страхування від нещасних випадків на виробництві на професійних захворювань України у м. Вінниці (21036, м. Вінниця, вул. Хмельницьке шсое, 2);</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7 -  ДК "Газ України" НАК "Нафтогаз України" (04116, м. Київ, вул. Шолуденка, 1);</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8 - ТОВ "Цукор Поділля" (21100, м. Вінниця, вул. Визволення, 8);</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9 - ТзДВ "Інтерпайп Україна" (49005, м. Дніпро, вул. Пісаржевського, 1а);</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10 - ВАТ "Вінницький підшипниковий завод" (21022, м. Вінниця, вул. С.Зулінського, 46);</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11 - Вінницькому обласному відділенню Виконавчої дирекції Фонду соціального страхування з тимчасової втрати працездатності (21037, м. Вінниця, вул. Зодчих, 22);</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12 - Вінницькій ОДПІ (21027, м. Вінниця, вул. К. Василенка, 21);</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13 - ТОВ "Торговий Дім "Вінницький підшипник" (21022, м. Вінниця, вул. С. Зулінського, 46);</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14 - ЗАТ "Славолія" (02099, м. Київ, вул. Зрошувальна, 5);</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15 - КП "Вінницяводоканал" (м. Вінниця, вул. Київська, 173);</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16 - УПФУ у м. Вінниці (вул. Хмельницьке шосе, 7, м. Вінниця);</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17 - Першій українській міжрегіональній товарній біржі (вул. М.Оводова, 46, м.Вінниця, 21001);</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18 - ТОВ "Торгівельна компанія "Урожай" (вул. С.Зулінського, 46, м. Вінниця, 21022 );</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19 - Арбітражному керуючому Дейнеці М.І. (пр-т Миру, 40, оф. 4, м. Хмельницький, 29000);</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i/>
          <w:iCs/>
          <w:sz w:val="20"/>
          <w:szCs w:val="20"/>
        </w:rPr>
      </w:pPr>
      <w:r w:rsidRPr="0029788F">
        <w:rPr>
          <w:rFonts w:ascii="Times New Roman" w:hAnsi="Times New Roman" w:cs="Times New Roman"/>
          <w:i/>
          <w:iCs/>
          <w:sz w:val="20"/>
          <w:szCs w:val="20"/>
        </w:rPr>
        <w:t xml:space="preserve">20 - Товарній біржі "Прозора" (вул. Я.Шепеля, 1, м. Вінниця, 21019); </w:t>
      </w:r>
    </w:p>
    <w:p w:rsidR="0029788F" w:rsidRPr="0029788F" w:rsidRDefault="0029788F" w:rsidP="0029788F">
      <w:pPr>
        <w:autoSpaceDE w:val="0"/>
        <w:autoSpaceDN w:val="0"/>
        <w:adjustRightInd w:val="0"/>
        <w:spacing w:after="0" w:line="240" w:lineRule="auto"/>
        <w:ind w:left="-270" w:right="-375"/>
        <w:jc w:val="both"/>
        <w:rPr>
          <w:rFonts w:ascii="Times New Roman" w:hAnsi="Times New Roman" w:cs="Times New Roman"/>
          <w:sz w:val="24"/>
          <w:szCs w:val="24"/>
        </w:rPr>
      </w:pPr>
      <w:r w:rsidRPr="0029788F">
        <w:rPr>
          <w:rFonts w:ascii="Times New Roman" w:hAnsi="Times New Roman" w:cs="Times New Roman"/>
          <w:i/>
          <w:iCs/>
          <w:sz w:val="20"/>
          <w:szCs w:val="20"/>
        </w:rPr>
        <w:t>21 - ПП "Демпродторг" (площа Героїв Чорнобиля, 1, кімната 101, м. Вінниця, 21000).</w:t>
      </w:r>
    </w:p>
    <w:p w:rsidR="0029788F" w:rsidRPr="0029788F" w:rsidRDefault="0029788F" w:rsidP="0029788F">
      <w:pPr>
        <w:autoSpaceDE w:val="0"/>
        <w:autoSpaceDN w:val="0"/>
        <w:adjustRightInd w:val="0"/>
        <w:spacing w:after="0" w:line="240" w:lineRule="auto"/>
        <w:rPr>
          <w:rFonts w:ascii="Times New Roman" w:hAnsi="Times New Roman" w:cs="Times New Roman"/>
          <w:sz w:val="24"/>
          <w:szCs w:val="24"/>
        </w:rPr>
      </w:pPr>
    </w:p>
    <w:p w:rsidR="00AF1893" w:rsidRDefault="00AF1893">
      <w:bookmarkStart w:id="0" w:name="_GoBack"/>
      <w:bookmarkEnd w:id="0"/>
    </w:p>
    <w:sectPr w:rsidR="00AF1893" w:rsidSect="009E01A0">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8F"/>
    <w:rsid w:val="0029788F"/>
    <w:rsid w:val="00AF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E3F9-A0A4-419D-B329-D1BE26CA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2018-06-21T06:50:00Z</dcterms:created>
  <dcterms:modified xsi:type="dcterms:W3CDTF">2018-06-21T06:51:00Z</dcterms:modified>
</cp:coreProperties>
</file>